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3586ECD3"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B45619">
        <w:rPr>
          <w:szCs w:val="22"/>
        </w:rPr>
        <w:t>462</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7509F65C" w:rsidR="002671CD" w:rsidRPr="00142D88" w:rsidRDefault="00B45619"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2D92536F" w:rsidR="002671CD" w:rsidRPr="00142D88" w:rsidRDefault="00B45619" w:rsidP="002671CD">
            <w:pPr>
              <w:rPr>
                <w:rFonts w:cs="Arial"/>
                <w:sz w:val="22"/>
                <w:szCs w:val="22"/>
              </w:rPr>
            </w:pPr>
            <w:r>
              <w:rPr>
                <w:rFonts w:cs="Arial"/>
                <w:sz w:val="22"/>
                <w:szCs w:val="22"/>
              </w:rPr>
              <w:t>Redshift Rubber Band Activity</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55B181BD" w:rsidR="004B3984" w:rsidRPr="00142D88" w:rsidRDefault="00B45619" w:rsidP="002671CD">
            <w:pPr>
              <w:rPr>
                <w:rFonts w:cs="Arial"/>
                <w:sz w:val="22"/>
                <w:szCs w:val="22"/>
              </w:rPr>
            </w:pPr>
            <w:r>
              <w:rPr>
                <w:rFonts w:cs="Arial"/>
                <w:sz w:val="22"/>
                <w:szCs w:val="22"/>
              </w:rPr>
              <w:t>A Pilates exercise band with a wave drawn on it is stretched between the demonstrator and a volunteer to show the effect on wavelength of a receding galaxy.</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42655E68" w:rsidR="004B3984" w:rsidRPr="00142D88" w:rsidRDefault="00B45619"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6FE2191B" w:rsidR="004B3984" w:rsidRPr="00142D88" w:rsidRDefault="00B45619" w:rsidP="004B3984">
            <w:pPr>
              <w:rPr>
                <w:rFonts w:cs="Arial"/>
                <w:sz w:val="22"/>
                <w:szCs w:val="22"/>
              </w:rPr>
            </w:pPr>
            <w:r>
              <w:rPr>
                <w:rFonts w:cs="Arial"/>
                <w:sz w:val="22"/>
                <w:szCs w:val="22"/>
              </w:rPr>
              <w:t>04/09/2023</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0F3B965A" w:rsidR="004B3984" w:rsidRPr="00142D88" w:rsidRDefault="00B45619"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7F34B9D9" w:rsidR="004B3984" w:rsidRPr="00142D88" w:rsidRDefault="00B45619"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32053A6A" w:rsidR="004B3984" w:rsidRPr="00142D88" w:rsidRDefault="00B45619"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B45619" w14:paraId="6C361B40" w14:textId="77777777" w:rsidTr="504A8C66">
        <w:trPr>
          <w:cantSplit/>
          <w:trHeight w:val="1534"/>
        </w:trPr>
        <w:tc>
          <w:tcPr>
            <w:tcW w:w="2839" w:type="dxa"/>
          </w:tcPr>
          <w:p w14:paraId="5516E458" w14:textId="30CA33F0" w:rsidR="00B45619" w:rsidRPr="00FB1DD4" w:rsidRDefault="00B45619" w:rsidP="00B45619">
            <w:pPr>
              <w:rPr>
                <w:rFonts w:cs="Arial"/>
                <w:sz w:val="22"/>
                <w:szCs w:val="22"/>
              </w:rPr>
            </w:pPr>
            <w:r>
              <w:rPr>
                <w:rFonts w:cs="Arial"/>
                <w:sz w:val="22"/>
                <w:szCs w:val="22"/>
              </w:rPr>
              <w:t xml:space="preserve">The band is pulled </w:t>
            </w:r>
            <w:proofErr w:type="spellStart"/>
            <w:r>
              <w:rPr>
                <w:rFonts w:cs="Arial"/>
                <w:sz w:val="22"/>
                <w:szCs w:val="22"/>
              </w:rPr>
              <w:t>to</w:t>
            </w:r>
            <w:proofErr w:type="spellEnd"/>
            <w:r>
              <w:rPr>
                <w:rFonts w:cs="Arial"/>
                <w:sz w:val="22"/>
                <w:szCs w:val="22"/>
              </w:rPr>
              <w:t xml:space="preserve"> far and released causing it to whip someone</w:t>
            </w:r>
          </w:p>
        </w:tc>
        <w:tc>
          <w:tcPr>
            <w:tcW w:w="2973" w:type="dxa"/>
          </w:tcPr>
          <w:p w14:paraId="24762C51" w14:textId="5A64A250" w:rsidR="00B45619" w:rsidRPr="008F436F" w:rsidRDefault="00B45619" w:rsidP="00B45619">
            <w:pPr>
              <w:rPr>
                <w:rFonts w:cs="Arial"/>
                <w:sz w:val="22"/>
                <w:szCs w:val="22"/>
              </w:rPr>
            </w:pPr>
            <w:r>
              <w:rPr>
                <w:rFonts w:cs="Arial"/>
                <w:sz w:val="22"/>
                <w:szCs w:val="22"/>
              </w:rPr>
              <w:t>The demonstrator or anyone standing very close</w:t>
            </w:r>
          </w:p>
        </w:tc>
        <w:tc>
          <w:tcPr>
            <w:tcW w:w="3402" w:type="dxa"/>
          </w:tcPr>
          <w:p w14:paraId="61B3C8A7" w14:textId="77777777" w:rsidR="00B45619" w:rsidRDefault="00B45619" w:rsidP="00B45619">
            <w:pPr>
              <w:rPr>
                <w:rFonts w:cs="Arial"/>
                <w:sz w:val="22"/>
                <w:szCs w:val="22"/>
              </w:rPr>
            </w:pPr>
            <w:r>
              <w:rPr>
                <w:rFonts w:cs="Arial"/>
                <w:sz w:val="22"/>
                <w:szCs w:val="22"/>
              </w:rPr>
              <w:t>Do not extend the band too far.</w:t>
            </w:r>
          </w:p>
          <w:p w14:paraId="49259698" w14:textId="77777777" w:rsidR="00B45619" w:rsidRDefault="00B45619" w:rsidP="00B45619">
            <w:pPr>
              <w:rPr>
                <w:rFonts w:cs="Arial"/>
                <w:sz w:val="22"/>
                <w:szCs w:val="22"/>
              </w:rPr>
            </w:pPr>
            <w:r>
              <w:rPr>
                <w:rFonts w:cs="Arial"/>
                <w:sz w:val="22"/>
                <w:szCs w:val="22"/>
              </w:rPr>
              <w:t>Max 50 – 70% its initial length.</w:t>
            </w:r>
          </w:p>
          <w:p w14:paraId="420F1C96" w14:textId="77777777" w:rsidR="00B45619" w:rsidRDefault="00B45619" w:rsidP="00B45619">
            <w:pPr>
              <w:rPr>
                <w:rFonts w:cs="Arial"/>
                <w:sz w:val="22"/>
                <w:szCs w:val="22"/>
              </w:rPr>
            </w:pPr>
          </w:p>
          <w:p w14:paraId="58C87863" w14:textId="77777777" w:rsidR="00B45619" w:rsidRDefault="00B45619" w:rsidP="00B45619">
            <w:pPr>
              <w:rPr>
                <w:rFonts w:cs="Arial"/>
                <w:sz w:val="22"/>
                <w:szCs w:val="22"/>
              </w:rPr>
            </w:pPr>
            <w:r>
              <w:rPr>
                <w:rFonts w:cs="Arial"/>
                <w:sz w:val="22"/>
                <w:szCs w:val="22"/>
              </w:rPr>
              <w:t>Get everyone to stand a few feet back from the demonstrator.</w:t>
            </w:r>
          </w:p>
          <w:p w14:paraId="1DBF5C43" w14:textId="77777777" w:rsidR="00B45619" w:rsidRDefault="00B45619" w:rsidP="00B45619">
            <w:pPr>
              <w:rPr>
                <w:rFonts w:cs="Arial"/>
                <w:sz w:val="22"/>
                <w:szCs w:val="22"/>
              </w:rPr>
            </w:pPr>
          </w:p>
          <w:p w14:paraId="648EF704" w14:textId="51433833" w:rsidR="00B45619" w:rsidRPr="001A3731" w:rsidRDefault="00B45619" w:rsidP="00B45619">
            <w:pPr>
              <w:rPr>
                <w:rFonts w:cs="Arial"/>
                <w:sz w:val="22"/>
                <w:szCs w:val="22"/>
              </w:rPr>
            </w:pPr>
            <w:r>
              <w:rPr>
                <w:rFonts w:cs="Arial"/>
                <w:sz w:val="22"/>
                <w:szCs w:val="22"/>
              </w:rPr>
              <w:t xml:space="preserve">Check the band for wear and tear before use. </w:t>
            </w:r>
          </w:p>
        </w:tc>
        <w:tc>
          <w:tcPr>
            <w:tcW w:w="2835" w:type="dxa"/>
          </w:tcPr>
          <w:p w14:paraId="5BA73B41" w14:textId="7D33B06A" w:rsidR="00B45619" w:rsidRPr="001A3731" w:rsidRDefault="00B45619" w:rsidP="00B45619">
            <w:pPr>
              <w:rPr>
                <w:rFonts w:cs="Arial"/>
                <w:sz w:val="22"/>
                <w:szCs w:val="22"/>
              </w:rPr>
            </w:pPr>
          </w:p>
        </w:tc>
        <w:tc>
          <w:tcPr>
            <w:tcW w:w="1859" w:type="dxa"/>
          </w:tcPr>
          <w:p w14:paraId="362E19FB" w14:textId="77777777" w:rsidR="00B45619" w:rsidRDefault="00B45619" w:rsidP="00B45619">
            <w:pPr>
              <w:rPr>
                <w:rFonts w:cs="Arial"/>
                <w:sz w:val="22"/>
                <w:szCs w:val="22"/>
              </w:rPr>
            </w:pPr>
            <w:r>
              <w:rPr>
                <w:rFonts w:cs="Arial"/>
                <w:sz w:val="22"/>
                <w:szCs w:val="22"/>
              </w:rPr>
              <w:t>Likelihood: 1</w:t>
            </w:r>
            <w:r>
              <w:rPr>
                <w:rFonts w:cs="Arial"/>
                <w:sz w:val="22"/>
                <w:szCs w:val="22"/>
              </w:rPr>
              <w:br/>
              <w:t>Severity: 1</w:t>
            </w:r>
          </w:p>
          <w:p w14:paraId="21A77B9E" w14:textId="77777777" w:rsidR="00B45619" w:rsidRDefault="00B45619" w:rsidP="00B45619">
            <w:pPr>
              <w:rPr>
                <w:rFonts w:cs="Arial"/>
                <w:sz w:val="22"/>
                <w:szCs w:val="22"/>
              </w:rPr>
            </w:pPr>
            <w:r>
              <w:rPr>
                <w:rFonts w:cs="Arial"/>
                <w:sz w:val="22"/>
                <w:szCs w:val="22"/>
              </w:rPr>
              <w:t>Risk Rating: 1</w:t>
            </w:r>
          </w:p>
          <w:p w14:paraId="22FEEE25" w14:textId="313E102D" w:rsidR="00B45619" w:rsidRPr="006C6B7A" w:rsidRDefault="00B45619" w:rsidP="00B45619">
            <w:pPr>
              <w:rPr>
                <w:rFonts w:cs="Arial"/>
                <w:sz w:val="22"/>
                <w:szCs w:val="22"/>
              </w:rPr>
            </w:pPr>
            <w:r w:rsidRPr="006E7572">
              <w:rPr>
                <w:rFonts w:cs="Arial"/>
                <w:sz w:val="22"/>
                <w:szCs w:val="22"/>
                <w:highlight w:val="green"/>
              </w:rPr>
              <w:t>[Low]</w:t>
            </w:r>
          </w:p>
        </w:tc>
        <w:tc>
          <w:tcPr>
            <w:tcW w:w="1845" w:type="dxa"/>
          </w:tcPr>
          <w:p w14:paraId="03879012" w14:textId="77777777" w:rsidR="00B45619" w:rsidRDefault="00B45619" w:rsidP="00B45619">
            <w:pPr>
              <w:rPr>
                <w:sz w:val="22"/>
                <w:szCs w:val="22"/>
              </w:rPr>
            </w:pPr>
            <w:r>
              <w:rPr>
                <w:sz w:val="22"/>
                <w:szCs w:val="22"/>
              </w:rPr>
              <w:t>Katrina May Neve</w:t>
            </w:r>
          </w:p>
          <w:p w14:paraId="37DBA21C" w14:textId="77777777" w:rsidR="00B45619" w:rsidRDefault="00B45619" w:rsidP="00B45619">
            <w:pPr>
              <w:rPr>
                <w:sz w:val="22"/>
                <w:szCs w:val="22"/>
              </w:rPr>
            </w:pPr>
            <w:r>
              <w:rPr>
                <w:sz w:val="22"/>
                <w:szCs w:val="22"/>
              </w:rPr>
              <w:t>Health and Safety Officer</w:t>
            </w:r>
          </w:p>
          <w:p w14:paraId="2902D1C4" w14:textId="193C7416" w:rsidR="00B45619" w:rsidRPr="006C6B7A" w:rsidRDefault="00B45619" w:rsidP="00B45619">
            <w:pPr>
              <w:rPr>
                <w:sz w:val="22"/>
                <w:szCs w:val="22"/>
              </w:rPr>
            </w:pPr>
            <w:r>
              <w:rPr>
                <w:sz w:val="22"/>
                <w:szCs w:val="22"/>
              </w:rPr>
              <w:t>[02/10/2024]</w:t>
            </w:r>
          </w:p>
        </w:tc>
      </w:tr>
      <w:tr w:rsidR="00B45619" w14:paraId="60B5CE56" w14:textId="77777777" w:rsidTr="504A8C66">
        <w:trPr>
          <w:cantSplit/>
          <w:trHeight w:val="1256"/>
        </w:trPr>
        <w:tc>
          <w:tcPr>
            <w:tcW w:w="2839" w:type="dxa"/>
          </w:tcPr>
          <w:p w14:paraId="72C0584A" w14:textId="34FF5588" w:rsidR="00B45619" w:rsidRPr="006C6B7A" w:rsidRDefault="00B45619" w:rsidP="00B45619">
            <w:pPr>
              <w:rPr>
                <w:rFonts w:cs="Arial"/>
                <w:sz w:val="22"/>
                <w:szCs w:val="22"/>
              </w:rPr>
            </w:pPr>
            <w:r>
              <w:rPr>
                <w:rFonts w:cs="Arial"/>
                <w:sz w:val="22"/>
                <w:szCs w:val="22"/>
              </w:rPr>
              <w:t>The band is pulled too tight and tears, causing it to whip someone</w:t>
            </w:r>
          </w:p>
        </w:tc>
        <w:tc>
          <w:tcPr>
            <w:tcW w:w="2973" w:type="dxa"/>
          </w:tcPr>
          <w:p w14:paraId="0B5CE949" w14:textId="6B9BCBC9" w:rsidR="00B45619" w:rsidRPr="00FE281E" w:rsidRDefault="00B45619" w:rsidP="00B45619">
            <w:pPr>
              <w:rPr>
                <w:rFonts w:cs="Arial"/>
                <w:b/>
                <w:bCs/>
                <w:sz w:val="22"/>
                <w:szCs w:val="22"/>
              </w:rPr>
            </w:pPr>
            <w:r>
              <w:rPr>
                <w:rFonts w:cs="Arial"/>
                <w:sz w:val="22"/>
                <w:szCs w:val="22"/>
              </w:rPr>
              <w:t>The demonstrator or anyone standing very close</w:t>
            </w:r>
          </w:p>
        </w:tc>
        <w:tc>
          <w:tcPr>
            <w:tcW w:w="3402" w:type="dxa"/>
          </w:tcPr>
          <w:p w14:paraId="52E5C20C" w14:textId="77777777" w:rsidR="00B45619" w:rsidRDefault="00B45619" w:rsidP="00B45619">
            <w:pPr>
              <w:rPr>
                <w:rFonts w:cs="Arial"/>
                <w:sz w:val="22"/>
                <w:szCs w:val="22"/>
              </w:rPr>
            </w:pPr>
            <w:r>
              <w:rPr>
                <w:rFonts w:cs="Arial"/>
                <w:sz w:val="22"/>
                <w:szCs w:val="22"/>
              </w:rPr>
              <w:t>Do not extend the band too far.</w:t>
            </w:r>
          </w:p>
          <w:p w14:paraId="53523314" w14:textId="77777777" w:rsidR="00B45619" w:rsidRDefault="00B45619" w:rsidP="00B45619">
            <w:pPr>
              <w:rPr>
                <w:rFonts w:cs="Arial"/>
                <w:sz w:val="22"/>
                <w:szCs w:val="22"/>
              </w:rPr>
            </w:pPr>
            <w:r>
              <w:rPr>
                <w:rFonts w:cs="Arial"/>
                <w:sz w:val="22"/>
                <w:szCs w:val="22"/>
              </w:rPr>
              <w:t>Max 50 – 70% its initial length.</w:t>
            </w:r>
          </w:p>
          <w:p w14:paraId="137E759D" w14:textId="77777777" w:rsidR="00B45619" w:rsidRDefault="00B45619" w:rsidP="00B45619">
            <w:pPr>
              <w:rPr>
                <w:rFonts w:cs="Arial"/>
                <w:sz w:val="22"/>
                <w:szCs w:val="22"/>
              </w:rPr>
            </w:pPr>
          </w:p>
          <w:p w14:paraId="7572B85C" w14:textId="77777777" w:rsidR="00B45619" w:rsidRDefault="00B45619" w:rsidP="00B45619">
            <w:pPr>
              <w:rPr>
                <w:rFonts w:cs="Arial"/>
                <w:sz w:val="22"/>
                <w:szCs w:val="22"/>
              </w:rPr>
            </w:pPr>
            <w:r>
              <w:rPr>
                <w:rFonts w:cs="Arial"/>
                <w:sz w:val="22"/>
                <w:szCs w:val="22"/>
              </w:rPr>
              <w:t>Get everyone to stand a few feet back from the demonstrator.</w:t>
            </w:r>
          </w:p>
          <w:p w14:paraId="4D17A7B1" w14:textId="77777777" w:rsidR="00B45619" w:rsidRDefault="00B45619" w:rsidP="00B45619">
            <w:pPr>
              <w:rPr>
                <w:rFonts w:cs="Arial"/>
                <w:sz w:val="22"/>
                <w:szCs w:val="22"/>
              </w:rPr>
            </w:pPr>
          </w:p>
          <w:p w14:paraId="066E43C1" w14:textId="1F891E53" w:rsidR="00B45619" w:rsidRPr="006C6B7A" w:rsidRDefault="00B45619" w:rsidP="00B45619">
            <w:pPr>
              <w:rPr>
                <w:rFonts w:cs="Arial"/>
                <w:sz w:val="22"/>
                <w:szCs w:val="22"/>
              </w:rPr>
            </w:pPr>
            <w:r>
              <w:rPr>
                <w:rFonts w:cs="Arial"/>
                <w:sz w:val="22"/>
                <w:szCs w:val="22"/>
              </w:rPr>
              <w:t xml:space="preserve">Check the band for wear and tear before use. </w:t>
            </w:r>
          </w:p>
        </w:tc>
        <w:tc>
          <w:tcPr>
            <w:tcW w:w="2835" w:type="dxa"/>
          </w:tcPr>
          <w:p w14:paraId="4F29F95C" w14:textId="64322301" w:rsidR="00B45619" w:rsidRDefault="00B45619" w:rsidP="00B45619">
            <w:pPr>
              <w:rPr>
                <w:sz w:val="22"/>
                <w:szCs w:val="22"/>
              </w:rPr>
            </w:pPr>
          </w:p>
        </w:tc>
        <w:tc>
          <w:tcPr>
            <w:tcW w:w="1859" w:type="dxa"/>
          </w:tcPr>
          <w:p w14:paraId="0FEDC427" w14:textId="77777777" w:rsidR="00B45619" w:rsidRDefault="00B45619" w:rsidP="00B45619">
            <w:pPr>
              <w:rPr>
                <w:rFonts w:cs="Arial"/>
                <w:sz w:val="22"/>
                <w:szCs w:val="22"/>
              </w:rPr>
            </w:pPr>
            <w:r>
              <w:rPr>
                <w:rFonts w:cs="Arial"/>
                <w:sz w:val="22"/>
                <w:szCs w:val="22"/>
              </w:rPr>
              <w:t>Likelihood: 1</w:t>
            </w:r>
            <w:r>
              <w:rPr>
                <w:rFonts w:cs="Arial"/>
                <w:sz w:val="22"/>
                <w:szCs w:val="22"/>
              </w:rPr>
              <w:br/>
              <w:t>Severity: 1</w:t>
            </w:r>
          </w:p>
          <w:p w14:paraId="2F8AC736" w14:textId="77777777" w:rsidR="00B45619" w:rsidRDefault="00B45619" w:rsidP="00B45619">
            <w:pPr>
              <w:rPr>
                <w:rFonts w:cs="Arial"/>
                <w:sz w:val="22"/>
                <w:szCs w:val="22"/>
              </w:rPr>
            </w:pPr>
            <w:r>
              <w:rPr>
                <w:rFonts w:cs="Arial"/>
                <w:sz w:val="22"/>
                <w:szCs w:val="22"/>
              </w:rPr>
              <w:t>Risk Rating: 1</w:t>
            </w:r>
          </w:p>
          <w:p w14:paraId="77219C0C" w14:textId="7A09418C" w:rsidR="00B45619" w:rsidRDefault="00B45619" w:rsidP="00B45619">
            <w:pPr>
              <w:rPr>
                <w:rFonts w:cs="Arial"/>
                <w:sz w:val="22"/>
                <w:szCs w:val="22"/>
              </w:rPr>
            </w:pPr>
            <w:r w:rsidRPr="006E7572">
              <w:rPr>
                <w:rFonts w:cs="Arial"/>
                <w:sz w:val="22"/>
                <w:szCs w:val="22"/>
                <w:highlight w:val="green"/>
              </w:rPr>
              <w:t xml:space="preserve">[Low] </w:t>
            </w:r>
          </w:p>
        </w:tc>
        <w:tc>
          <w:tcPr>
            <w:tcW w:w="1845" w:type="dxa"/>
          </w:tcPr>
          <w:p w14:paraId="2E703EDD" w14:textId="77777777" w:rsidR="00B45619" w:rsidRDefault="00B45619" w:rsidP="00B45619">
            <w:pPr>
              <w:rPr>
                <w:sz w:val="22"/>
                <w:szCs w:val="22"/>
              </w:rPr>
            </w:pPr>
            <w:r>
              <w:rPr>
                <w:sz w:val="22"/>
                <w:szCs w:val="22"/>
              </w:rPr>
              <w:t>Katrina May Neve</w:t>
            </w:r>
          </w:p>
          <w:p w14:paraId="23286CBE" w14:textId="77777777" w:rsidR="00B45619" w:rsidRDefault="00B45619" w:rsidP="00B45619">
            <w:pPr>
              <w:rPr>
                <w:sz w:val="22"/>
                <w:szCs w:val="22"/>
              </w:rPr>
            </w:pPr>
            <w:r>
              <w:rPr>
                <w:sz w:val="22"/>
                <w:szCs w:val="22"/>
              </w:rPr>
              <w:t>Health and Safety Officer</w:t>
            </w:r>
          </w:p>
          <w:p w14:paraId="5F6C81A0" w14:textId="60E0814C" w:rsidR="00B45619" w:rsidRPr="006C6B7A" w:rsidRDefault="00B45619" w:rsidP="00B45619">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w:t>
            </w:r>
            <w:r>
              <w:rPr>
                <w:rFonts w:cs="Arial"/>
                <w:sz w:val="24"/>
              </w:rPr>
              <w:lastRenderedPageBreak/>
              <w:t xml:space="preserve">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B45619">
    <w:pPr>
      <w:pStyle w:val="Footer"/>
    </w:pPr>
    <w:r>
      <w:rPr>
        <w:noProof/>
      </w:rPr>
    </w:r>
    <w:r w:rsidR="00B45619">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D5667"/>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45619"/>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2024-10-02T14:36:00Z</dcterms:created>
  <dcterms:modified xsi:type="dcterms:W3CDTF">2024-10-02T14:36:00Z</dcterms:modified>
</cp:coreProperties>
</file>